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맑은 고딕" w:cs="맑은 고딕" w:eastAsia="맑은 고딕" w:hAnsi="맑은 고딕"/>
          <w:b/>
          <w:bCs/>
          <w:color w:val="0E2450"/>
          <w:sz w:val="32"/>
          <w:szCs w:val="32"/>
        </w:rPr>
        <w:t xml:space="preserve">조직 진단 도입 검토 (안)</w:t>
      </w:r>
    </w:p>
    <w:p>
      <w:pPr>
        <w:pBdr>
          <w:bottom w:val="single" w:color="D8DEE9" w:sz="6" w:space="6"/>
        </w:pBdr>
        <w:spacing w:after="0" w:before="0"/>
      </w:pPr>
      <w:r>
        <w:rPr>
          <w:rFonts w:ascii="맑은 고딕" w:cs="맑은 고딕" w:eastAsia="맑은 고딕" w:hAnsi="맑은 고딕"/>
          <w:color w:val="5B6577"/>
          <w:sz w:val="18"/>
          <w:szCs w:val="18"/>
        </w:rPr>
        <w:t xml:space="preserve">작성일 20  년   월   일 ｜ 작성 부서            ｜ 작성자            </w:t>
      </w:r>
    </w:p>
    <w:p>
      <w:pPr>
        <w:spacing w:after="20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24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아래 회색 안내문은 작성 요령입니다. 실제 문서에서는 지우고 사용하십시오.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1. 검토 배경</w:t>
      </w:r>
    </w:p>
    <w:p>
      <w:pPr>
        <w:spacing w:after="12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＊ 진단이 필요한 이유가 아니라, 진단 결과로 무엇을 결정할지를 씁니다. '리더십 수준을 파악하기 위해'는 배경이 아닙니다. 승계 후보군을 어떻게 정할지, 계층별 교육을 어디에 배치할지처럼 결정할 사안을 적어야 결재가 납니다.</w:t>
      </w:r>
    </w:p>
    <w:p>
      <w:pPr>
        <w:spacing w:after="6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>　</w:t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>　</w:t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>　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2. 진단 대상 및 규모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구분</w:t>
            </w:r>
          </w:p>
        </w:tc>
        <w:tc>
          <w:tcPr>
            <w:tcW w:type="dxa" w:w="70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대상 계층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（예: 팀장·파트장）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대상 인원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명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진단 방식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자기진단 ／ 360도 다면진단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응답 건수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건 （다면진단은 대상자 1인당 본인 및 응답자 수를 곱합니다）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산출 리포트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개인      부 ／ 팀      부 ／ 조직      부</w:t>
            </w:r>
          </w:p>
        </w:tc>
      </w:tr>
    </w:tbl>
    <w:p>
      <w:pPr>
        <w:spacing w:after="6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＊ 예산 산정의 기준은 대상 인원이 아니라 응답 건수입니다. 대상자 30명을 360도로 진단하면 응답은 240건 안팎이 됩니다.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3. 추진 일정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단계</w:t>
            </w:r>
          </w:p>
        </w:tc>
        <w:tc>
          <w:tcPr>
            <w:tcW w:type="dxa" w:w="70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소요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문항 설계·검토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안내·응답 수집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분석·리포트 생성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해설 세션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90일 뒤 재측정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합계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주</w:t>
            </w:r>
          </w:p>
        </w:tc>
      </w:tr>
    </w:tbl>
    <w:p>
      <w:pPr>
        <w:spacing w:after="6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＊ 응답 수집 기간은 응답률이 결정하므로 무리하게 줄이지 마십시오. 일정을 압축해야 한다면 수집 기간이 아니라 문항 설계 범위를 줄이는 편이 안전합니다.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4. 결과 활용 범위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본 진단은 육성 목적으로 실시하며, 인사평가·선발·승진 심사의 근거로 사용하지 않습니다.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개인 리포트는 본인에게 우선 전달하며, 상급자에게 먼저 제공하지 않습니다.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응답자가 3명 미만인 집단은 개인이 특정될 수 있으므로 집단 결과를 생성하지 않습니다.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경영진 보고에는 조직 수준의 패턴만 포함하며 개인 결과는 포함하지 않습니다.</w:t>
      </w:r>
    </w:p>
    <w:p>
      <w:pPr>
        <w:spacing w:after="6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＊ 이 항목을 문서로 남기지 않으면 진단 도중 결과를 평가에 쓰자는 요구가 반드시 나옵니다. 시작 전에 막아야 합니다.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5. 개인정보 처리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구분</w:t>
            </w:r>
          </w:p>
        </w:tc>
        <w:tc>
          <w:tcPr>
            <w:tcW w:type="dxa" w:w="70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수집 항목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소속, 직책, 응답 내용 （이름·연락처 수집 여부: 수집 ／ 미수집）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처리 목적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진단 결과 분석 및 리포트 생성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보관 기간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진단 종료 후      개월, 이후 지체 없이 파기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처리 위탁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위탁 계약 체결 여부: 예 ／ 아니오　（수탁사:                    ）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재위탁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허용 ／ 불허</w:t>
            </w:r>
          </w:p>
        </w:tc>
      </w:tr>
    </w:tbl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6. 소요 예산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항목</w:t>
            </w:r>
          </w:p>
        </w:tc>
        <w:tc>
          <w:tcPr>
            <w:tcW w:type="dxa" w:w="7000"/>
            <w:shd w:fill="0E245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진단 실시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원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문항 설계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원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리포트 생성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원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해설 세션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원</w:t>
            </w:r>
          </w:p>
        </w:tc>
      </w:tr>
      <w:tr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합계 （부가세 별도）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        원</w:t>
            </w:r>
          </w:p>
        </w:tc>
      </w:tr>
    </w:tbl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7. 기대 효과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리더별 강점과 개발 필요 영역을 개인 단위로 특정할 수 있습니다.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자기 인식과 구성원 인식의 격차를 조직 차원에서 확인할 수 있습니다.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교육·개입의 효과를 90일 뒤 재측정으로 수치화해 보고할 수 있습니다.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（조직별 기대 효과를 추가로 기재）</w:t>
      </w:r>
    </w:p>
    <w:p>
      <w:pPr>
        <w:spacing w:after="60" w:before="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i/>
          <w:iCs/>
          <w:color w:val="5B6577"/>
          <w:sz w:val="17"/>
          <w:szCs w:val="17"/>
        </w:rPr>
        <w:t xml:space="preserve">＊ 기대 효과는 측정 가능한 형태로 씁니다. '조직문화 개선'처럼 확인할 수 없는 문장은 다음 해에 성과로 보고할 수 없습니다.</w:t>
      </w:r>
    </w:p>
    <w:p>
      <w:pPr>
        <w:spacing w:after="140" w:before="280"/>
      </w:pPr>
      <w:r>
        <w:rPr>
          <w:rFonts w:ascii="맑은 고딕" w:cs="맑은 고딕" w:eastAsia="맑은 고딕" w:hAnsi="맑은 고딕"/>
          <w:b/>
          <w:bCs/>
          <w:color w:val="0E2450"/>
          <w:sz w:val="24"/>
          <w:szCs w:val="24"/>
        </w:rPr>
        <w:t xml:space="preserve">8. 검토 요청 사항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진단 대상 및 규모 승인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소요 예산 승인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결과 활용 범위 （육성 목적 한정） 확인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맑은 고딕" w:cs="맑은 고딕" w:eastAsia="맑은 고딕" w:hAnsi="맑은 고딕"/>
          <w:sz w:val="20"/>
          <w:szCs w:val="20"/>
        </w:rPr>
        <w:t xml:space="preserve">개인정보 처리 위탁 계약 체결 승인</w:t>
      </w:r>
    </w:p>
    <w:p>
      <w:pPr>
        <w:spacing w:after="60" w:before="32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19"/>
          <w:szCs w:val="19"/>
        </w:rPr>
        <w:t xml:space="preserve">붙임　1. 진단 범위 산정 결과　1부</w:t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19"/>
          <w:szCs w:val="19"/>
        </w:rPr>
        <w:t xml:space="preserve">　　　2. 진단 문항 세트　1부</w:t>
      </w:r>
    </w:p>
    <w:p>
      <w:pPr>
        <w:spacing w:after="120" w:before="0"/>
      </w:pPr>
      <w:r>
        <w:rPr>
          <w:rFonts w:ascii="맑은 고딕" w:cs="맑은 고딕" w:eastAsia="맑은 고딕" w:hAnsi="맑은 고딕"/>
          <w:sz w:val="19"/>
          <w:szCs w:val="19"/>
        </w:rPr>
        <w:t xml:space="preserve">　　　3. 개인정보 처리 위탁 계약서 （안）　1부</w:t>
      </w:r>
    </w:p>
    <w:p>
      <w:pPr>
        <w:spacing w:after="120" w:before="4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맑은 고딕" w:cs="맑은 고딕" w:eastAsia="맑은 고딕" w:hAnsi="맑은 고딕"/>
          <w:color w:val="5B6577"/>
          <w:sz w:val="16"/>
          <w:szCs w:val="16"/>
        </w:rPr>
        <w:t xml:space="preserve">본 양식은 조직진단연구소（org.jobok.co.kr）가 무료로 배포합니다. 자유롭게 수정해 사용하실 수 있으며 출처 표기는 필요하지 않습니다.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2026-09-04T03:18:43.544Z</dcterms:created>
  <dcterms:modified xsi:type="dcterms:W3CDTF">2026-09-04T03:18:43.544Z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